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2B535151" w:rsidR="00334680" w:rsidRPr="00334680" w:rsidRDefault="00A41FF9" w:rsidP="00334680">
      <w:pPr>
        <w:tabs>
          <w:tab w:val="left" w:pos="8460"/>
        </w:tabs>
        <w:spacing w:before="40" w:after="400"/>
        <w:rPr>
          <w:rFonts w:cs="Arial"/>
          <w:b/>
          <w:iCs/>
        </w:rPr>
      </w:pPr>
      <w:r>
        <w:rPr>
          <w:rFonts w:cs="Arial"/>
          <w:b/>
          <w:iCs/>
        </w:rPr>
        <w:t>15.4.</w:t>
      </w:r>
      <w:r w:rsidR="006712FD" w:rsidRPr="00334680">
        <w:rPr>
          <w:rFonts w:cs="Arial"/>
          <w:b/>
          <w:iCs/>
        </w:rPr>
        <w:t>202</w:t>
      </w:r>
      <w:r w:rsidR="00B8354F">
        <w:rPr>
          <w:rFonts w:cs="Arial"/>
          <w:b/>
          <w:iCs/>
        </w:rPr>
        <w:t xml:space="preserve">4 </w:t>
      </w:r>
      <w:r w:rsidR="00334680" w:rsidRPr="00334680">
        <w:rPr>
          <w:rFonts w:cs="Arial"/>
          <w:b/>
          <w:iCs/>
        </w:rPr>
        <w:t xml:space="preserve">pöytäkirjan pykälät § </w:t>
      </w:r>
      <w:r w:rsidR="00856E01">
        <w:rPr>
          <w:rFonts w:cs="Arial"/>
          <w:b/>
          <w:iCs/>
        </w:rPr>
        <w:t>39</w:t>
      </w:r>
      <w:r w:rsidR="00E41E3D" w:rsidRPr="00334680">
        <w:rPr>
          <w:rFonts w:cs="Arial"/>
          <w:b/>
          <w:iCs/>
        </w:rPr>
        <w:t>–</w:t>
      </w:r>
      <w:r w:rsidR="00856E01">
        <w:rPr>
          <w:rFonts w:cs="Arial"/>
          <w:b/>
          <w:iCs/>
        </w:rPr>
        <w:t>4</w:t>
      </w:r>
      <w:r>
        <w:rPr>
          <w:rFonts w:cs="Arial"/>
          <w:b/>
          <w:iCs/>
        </w:rPr>
        <w:t>2</w:t>
      </w:r>
      <w:r w:rsidR="00334680" w:rsidRPr="00334680">
        <w:rPr>
          <w:rFonts w:cs="Arial"/>
          <w:b/>
          <w:iCs/>
        </w:rPr>
        <w:t>.</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712C47F"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856E01">
        <w:rPr>
          <w:rFonts w:cs="Arial"/>
          <w:b/>
          <w:bCs/>
          <w:iCs/>
        </w:rPr>
        <w:t>36–37</w:t>
      </w:r>
      <w:r w:rsidR="00334680" w:rsidRPr="00334680">
        <w:rPr>
          <w:rFonts w:cs="Arial"/>
          <w:b/>
          <w:bCs/>
          <w:iCs/>
        </w:rPr>
        <w:t xml:space="preserve"> ja § </w:t>
      </w:r>
      <w:r w:rsidR="00856E01">
        <w:rPr>
          <w:rFonts w:cs="Arial"/>
          <w:b/>
          <w:bCs/>
          <w:iCs/>
        </w:rPr>
        <w:t>43</w:t>
      </w:r>
      <w:r w:rsidR="00311F4D">
        <w:rPr>
          <w:rFonts w:cs="Arial"/>
          <w:b/>
          <w:bCs/>
          <w:iCs/>
        </w:rPr>
        <w:t>–</w:t>
      </w:r>
      <w:r w:rsidR="00856E01">
        <w:rPr>
          <w:rFonts w:cs="Arial"/>
          <w:b/>
          <w:bCs/>
          <w:iCs/>
        </w:rPr>
        <w:t>44</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856E01"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856E01"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856E01"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100B"/>
    <w:rsid w:val="003327CF"/>
    <w:rsid w:val="00334680"/>
    <w:rsid w:val="00342189"/>
    <w:rsid w:val="00346B34"/>
    <w:rsid w:val="003576C9"/>
    <w:rsid w:val="00367702"/>
    <w:rsid w:val="0037066E"/>
    <w:rsid w:val="00386F17"/>
    <w:rsid w:val="00393312"/>
    <w:rsid w:val="00393D08"/>
    <w:rsid w:val="00394489"/>
    <w:rsid w:val="00397E18"/>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C0D0B"/>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C0811"/>
    <w:rsid w:val="007F556C"/>
    <w:rsid w:val="0081073E"/>
    <w:rsid w:val="00815856"/>
    <w:rsid w:val="00820625"/>
    <w:rsid w:val="00823804"/>
    <w:rsid w:val="00825A14"/>
    <w:rsid w:val="00847ADA"/>
    <w:rsid w:val="00852182"/>
    <w:rsid w:val="00856E01"/>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1FF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4854"/>
    <w:rsid w:val="00E8571E"/>
    <w:rsid w:val="00EA23D6"/>
    <w:rsid w:val="00EA4167"/>
    <w:rsid w:val="00EB6003"/>
    <w:rsid w:val="00EC19C1"/>
    <w:rsid w:val="00ED19F1"/>
    <w:rsid w:val="00EF3A45"/>
    <w:rsid w:val="00F03DBB"/>
    <w:rsid w:val="00F06D77"/>
    <w:rsid w:val="00F17D2A"/>
    <w:rsid w:val="00F417A2"/>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1637</Words>
  <Characters>13266</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3</cp:revision>
  <cp:lastPrinted>2024-04-16T12:35:00Z</cp:lastPrinted>
  <dcterms:created xsi:type="dcterms:W3CDTF">2024-04-29T17:19:00Z</dcterms:created>
  <dcterms:modified xsi:type="dcterms:W3CDTF">2024-04-29T17:22:00Z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